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p>
      <w:pPr>
        <w:pStyle w:val="Normal"/>
        <w:tabs>
          <w:tab w:val="left" w:pos="851" w:leader="none"/>
        </w:tabs>
        <w:spacing w:lineRule="auto" w:line="276" w:before="0" w:after="120"/>
        <w:jc w:val="center"/>
        <w:rPr>
          <w:sz w:val="28"/>
          <w:szCs w:val="28"/>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rPr>
      </w:pPr>
      <w:r>
        <w:rPr>
          <w:rFonts w:cs="Arial" w:ascii="Arial" w:hAnsi="Arial"/>
          <w:b/>
        </w:rPr>
      </w:r>
    </w:p>
    <w:tbl>
      <w:tblPr>
        <w:tblW w:w="9214" w:type="dxa"/>
        <w:jc w:val="left"/>
        <w:tblInd w:w="9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3" w:type="dxa"/>
          <w:bottom w:w="0" w:type="dxa"/>
          <w:right w:w="108" w:type="dxa"/>
        </w:tblCellMar>
        <w:tblLook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93" w:type="dxa"/>
            </w:tcMar>
            <w:vAlign w:val="center"/>
          </w:tcPr>
          <w:p>
            <w:pPr>
              <w:pStyle w:val="Normal"/>
              <w:tabs>
                <w:tab w:val="left" w:pos="851" w:leader="none"/>
              </w:tabs>
              <w:spacing w:lineRule="auto" w:line="276" w:before="0" w:after="120"/>
              <w:jc w:val="center"/>
              <w:rPr/>
            </w:pPr>
            <w:r>
              <w:rPr>
                <w:rFonts w:cs="Arial" w:ascii="Arial" w:hAnsi="Arial"/>
                <w:b/>
                <w:sz w:val="22"/>
                <w:szCs w:val="22"/>
              </w:rPr>
              <w:t xml:space="preserve">REFORMA DO CEI </w:t>
            </w:r>
            <w:r>
              <w:rPr>
                <w:rFonts w:cs="Arial" w:ascii="Arial" w:hAnsi="Arial"/>
                <w:b/>
                <w:sz w:val="22"/>
                <w:szCs w:val="22"/>
              </w:rPr>
              <w:t>NOSSA SENHORA DAS GRAÇAS</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O presente documento trata dos procedimentos e orientações necessárias para contratação de empresa através do ato público de concorrência, objetivando a execução de obras de </w:t>
      </w:r>
      <w:r>
        <w:rPr>
          <w:rFonts w:cs="Arial" w:ascii="Arial" w:hAnsi="Arial"/>
          <w:b/>
          <w:sz w:val="22"/>
          <w:szCs w:val="22"/>
        </w:rPr>
        <w:t xml:space="preserve">reforma </w:t>
      </w:r>
      <w:r>
        <w:rPr>
          <w:rFonts w:cs="Arial" w:ascii="Arial" w:hAnsi="Arial"/>
          <w:b/>
          <w:sz w:val="22"/>
          <w:szCs w:val="22"/>
        </w:rPr>
        <w:t>d</w:t>
      </w:r>
      <w:r>
        <w:rPr>
          <w:rFonts w:cs="Arial" w:ascii="Arial" w:hAnsi="Arial"/>
          <w:b/>
          <w:sz w:val="22"/>
          <w:szCs w:val="22"/>
        </w:rPr>
        <w:t xml:space="preserve">o CEI </w:t>
      </w:r>
      <w:r>
        <w:rPr>
          <w:rFonts w:cs="Arial" w:ascii="Arial" w:hAnsi="Arial"/>
          <w:b/>
          <w:sz w:val="22"/>
          <w:szCs w:val="22"/>
        </w:rPr>
        <w:t>NOSSA SENHORA DAS GRAÇAS</w:t>
      </w:r>
      <w:r>
        <w:rPr>
          <w:rFonts w:cs="Arial" w:ascii="Arial" w:hAnsi="Arial"/>
          <w:b/>
          <w:sz w:val="22"/>
          <w:szCs w:val="22"/>
        </w:rPr>
        <w:t xml:space="preserve"> l</w:t>
      </w:r>
      <w:r>
        <w:rPr>
          <w:rFonts w:cs="Arial" w:ascii="Arial" w:hAnsi="Arial"/>
          <w:sz w:val="22"/>
          <w:szCs w:val="22"/>
        </w:rPr>
        <w:t xml:space="preserve">ocalizado na </w:t>
      </w:r>
      <w:r>
        <w:rPr>
          <w:rFonts w:cs="Arial" w:ascii="Arial" w:hAnsi="Arial"/>
          <w:sz w:val="22"/>
          <w:szCs w:val="22"/>
        </w:rPr>
        <w:t>Rua Pedro José João Nº 221, Nossa Senhora das Graças, 88302-090 – Itajaí/SC.</w:t>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6"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16" w:type="dxa"/>
            </w:tcMar>
          </w:tcPr>
          <w:p>
            <w:pPr>
              <w:pStyle w:val="Normal"/>
              <w:tabs>
                <w:tab w:val="left" w:pos="851" w:leader="none"/>
              </w:tabs>
              <w:spacing w:lineRule="auto" w:line="276" w:before="0" w:after="120"/>
              <w:jc w:val="center"/>
              <w:rPr>
                <w:rFonts w:ascii="Arial" w:hAnsi="Arial" w:cs="Arial"/>
                <w:b/>
                <w:b/>
                <w:bCs/>
                <w:sz w:val="22"/>
                <w:szCs w:val="22"/>
              </w:rPr>
            </w:pPr>
            <w:r>
              <w:rPr>
                <w:rFonts w:cs="Arial" w:ascii="Arial" w:hAnsi="Arial"/>
                <w:b/>
                <w:bCs/>
                <w:sz w:val="22"/>
                <w:szCs w:val="22"/>
              </w:rPr>
              <w:t>QUADRO DE ÁREAS</w:t>
            </w:r>
          </w:p>
        </w:tc>
      </w:tr>
      <w:tr>
        <w:trPr>
          <w:trHeight w:val="449" w:hRule="atLeast"/>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38" w:type="dxa"/>
            </w:tcMar>
          </w:tcPr>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Área do terreno</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16" w:type="dxa"/>
            </w:tcMar>
          </w:tcPr>
          <w:p>
            <w:pPr>
              <w:pStyle w:val="Normal"/>
              <w:tabs>
                <w:tab w:val="left" w:pos="851" w:leader="none"/>
              </w:tabs>
              <w:spacing w:lineRule="auto" w:line="276" w:before="0" w:after="120"/>
              <w:jc w:val="both"/>
              <w:rPr/>
            </w:pPr>
            <w:r>
              <w:rPr>
                <w:rFonts w:cs="Arial" w:ascii="Arial" w:hAnsi="Arial"/>
                <w:sz w:val="22"/>
                <w:szCs w:val="22"/>
              </w:rPr>
              <w:t>756,83</w:t>
            </w:r>
            <w:r>
              <w:rPr>
                <w:rFonts w:cs="Arial" w:ascii="Arial" w:hAnsi="Arial"/>
                <w:sz w:val="22"/>
                <w:szCs w:val="22"/>
              </w:rPr>
              <w:t xml:space="preserve">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38" w:type="dxa"/>
            </w:tcMar>
          </w:tcPr>
          <w:p>
            <w:pPr>
              <w:pStyle w:val="Normal"/>
              <w:tabs>
                <w:tab w:val="left" w:pos="851" w:leader="none"/>
              </w:tabs>
              <w:spacing w:lineRule="auto" w:line="276" w:before="0" w:after="120"/>
              <w:jc w:val="both"/>
              <w:rPr/>
            </w:pPr>
            <w:r>
              <w:rPr>
                <w:rFonts w:cs="Arial" w:ascii="Arial" w:hAnsi="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16" w:type="dxa"/>
            </w:tcMar>
          </w:tcPr>
          <w:p>
            <w:pPr>
              <w:pStyle w:val="Normal"/>
              <w:tabs>
                <w:tab w:val="left" w:pos="851" w:leader="none"/>
              </w:tabs>
              <w:spacing w:lineRule="auto" w:line="276" w:before="0" w:after="120"/>
              <w:jc w:val="both"/>
              <w:rPr/>
            </w:pPr>
            <w:r>
              <w:rPr>
                <w:rFonts w:cs="Arial" w:ascii="Arial" w:hAnsi="Arial"/>
                <w:sz w:val="22"/>
                <w:szCs w:val="22"/>
              </w:rPr>
              <w:t>431,86</w:t>
            </w:r>
            <w:r>
              <w:rPr>
                <w:rFonts w:cs="Arial" w:ascii="Arial" w:hAnsi="Arial"/>
                <w:sz w:val="22"/>
                <w:szCs w:val="22"/>
              </w:rPr>
              <w:t xml:space="preserve">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38" w:type="dxa"/>
            </w:tcMar>
          </w:tcPr>
          <w:p>
            <w:pPr>
              <w:pStyle w:val="Normal"/>
              <w:tabs>
                <w:tab w:val="left" w:pos="851" w:leader="none"/>
              </w:tabs>
              <w:spacing w:lineRule="auto" w:line="276" w:before="0" w:after="120"/>
              <w:jc w:val="both"/>
              <w:rPr/>
            </w:pPr>
            <w:r>
              <w:rPr>
                <w:rFonts w:cs="Arial" w:ascii="Arial" w:hAnsi="Arial"/>
                <w:sz w:val="22"/>
                <w:szCs w:val="22"/>
              </w:rPr>
              <w:t xml:space="preserve">Área a ser </w:t>
            </w:r>
            <w:r>
              <w:rPr>
                <w:rFonts w:cs="Arial" w:ascii="Arial" w:hAnsi="Arial"/>
                <w:sz w:val="22"/>
                <w:szCs w:val="22"/>
              </w:rPr>
              <w:t>construida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16" w:type="dxa"/>
            </w:tcMar>
          </w:tcPr>
          <w:p>
            <w:pPr>
              <w:pStyle w:val="Normal"/>
              <w:tabs>
                <w:tab w:val="left" w:pos="851" w:leader="none"/>
              </w:tabs>
              <w:spacing w:lineRule="auto" w:line="276" w:before="0" w:after="120"/>
              <w:jc w:val="both"/>
              <w:rPr/>
            </w:pPr>
            <w:r>
              <w:rPr>
                <w:rFonts w:cs="Arial" w:ascii="Arial" w:hAnsi="Arial"/>
                <w:sz w:val="22"/>
                <w:szCs w:val="22"/>
              </w:rPr>
              <w:t>29,96</w:t>
            </w:r>
            <w:r>
              <w:rPr>
                <w:rFonts w:cs="Arial" w:ascii="Arial" w:hAnsi="Arial"/>
                <w:sz w:val="22"/>
                <w:szCs w:val="22"/>
              </w:rPr>
              <w:t xml:space="preserve">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38" w:type="dxa"/>
            </w:tcMar>
          </w:tcPr>
          <w:p>
            <w:pPr>
              <w:pStyle w:val="Normal"/>
              <w:tabs>
                <w:tab w:val="left" w:pos="851" w:leader="none"/>
              </w:tabs>
              <w:spacing w:lineRule="auto" w:line="276" w:before="0" w:after="120"/>
              <w:jc w:val="both"/>
              <w:rPr/>
            </w:pPr>
            <w:r>
              <w:rPr>
                <w:rFonts w:cs="Arial" w:ascii="Arial" w:hAnsi="Arial"/>
                <w:sz w:val="22"/>
                <w:szCs w:val="22"/>
              </w:rPr>
              <w:t xml:space="preserve">Área </w:t>
            </w:r>
            <w:r>
              <w:rPr>
                <w:rFonts w:cs="Arial" w:ascii="Arial" w:hAnsi="Arial"/>
                <w:sz w:val="22"/>
                <w:szCs w:val="22"/>
              </w:rPr>
              <w:t>total</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16" w:type="dxa"/>
            </w:tcMar>
          </w:tcPr>
          <w:p>
            <w:pPr>
              <w:pStyle w:val="Normal"/>
              <w:tabs>
                <w:tab w:val="left" w:pos="851" w:leader="none"/>
              </w:tabs>
              <w:spacing w:lineRule="auto" w:line="276" w:before="0" w:after="120"/>
              <w:jc w:val="both"/>
              <w:rPr/>
            </w:pPr>
            <w:r>
              <w:rPr>
                <w:rFonts w:cs="Arial" w:ascii="Arial" w:hAnsi="Arial"/>
                <w:sz w:val="22"/>
                <w:szCs w:val="22"/>
              </w:rPr>
              <w:t xml:space="preserve"> </w:t>
            </w:r>
            <w:r>
              <w:rPr>
                <w:rFonts w:cs="Arial" w:ascii="Arial" w:hAnsi="Arial"/>
                <w:sz w:val="22"/>
                <w:szCs w:val="22"/>
              </w:rPr>
              <w:t>461,82</w:t>
            </w:r>
            <w:r>
              <w:rPr>
                <w:rFonts w:cs="Arial" w:ascii="Arial" w:hAnsi="Arial"/>
                <w:sz w:val="22"/>
                <w:szCs w:val="22"/>
              </w:rPr>
              <w:t xml:space="preserve">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38" w:type="dxa"/>
            </w:tcMar>
          </w:tcPr>
          <w:p>
            <w:pPr>
              <w:pStyle w:val="Normal"/>
              <w:tabs>
                <w:tab w:val="left" w:pos="851" w:leader="none"/>
              </w:tabs>
              <w:spacing w:lineRule="auto" w:line="276" w:before="0" w:after="120"/>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16" w:type="dxa"/>
            </w:tcMar>
          </w:tcPr>
          <w:p>
            <w:pPr>
              <w:pStyle w:val="Normal"/>
              <w:tabs>
                <w:tab w:val="left" w:pos="851" w:leader="none"/>
              </w:tabs>
              <w:spacing w:lineRule="auto" w:line="276" w:before="0" w:after="120"/>
              <w:jc w:val="both"/>
              <w:rPr/>
            </w:pPr>
            <w:r>
              <w:rPr>
                <w:rFonts w:cs="Arial" w:ascii="Arial" w:hAnsi="Arial"/>
                <w:sz w:val="22"/>
                <w:szCs w:val="22"/>
              </w:rPr>
              <w:t>Térreo</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 xml:space="preserve">A unidade necessita de reforma preventiva da edificação, pois a mesma encontra-se desgastada com o passar dos anos, sendo caracterizada com reforma geral da unidade com necessidade de ampliação de espaços. </w:t>
      </w:r>
    </w:p>
    <w:p>
      <w:pPr>
        <w:pStyle w:val="Normal"/>
        <w:tabs>
          <w:tab w:val="left" w:pos="851" w:leader="none"/>
        </w:tabs>
        <w:spacing w:lineRule="auto" w:line="276" w:before="0" w:after="120"/>
        <w:ind w:right="-89" w:firstLine="708"/>
        <w:jc w:val="both"/>
        <w:rPr/>
      </w:pPr>
      <w:r>
        <w:rPr>
          <w:rFonts w:cs="Arial" w:ascii="Arial" w:hAnsi="Arial"/>
          <w:sz w:val="22"/>
          <w:szCs w:val="22"/>
        </w:rPr>
        <w:t xml:space="preserve">Serão construídos em anexo banheiros para 4 salas de aula, uma lavanderia nova e uma sala de educação física. </w:t>
      </w:r>
      <w:r>
        <w:rPr>
          <w:rFonts w:cs="Arial" w:ascii="Arial" w:hAnsi="Arial"/>
          <w:sz w:val="22"/>
          <w:szCs w:val="22"/>
        </w:rPr>
        <w:t xml:space="preserve">Estas alterações de áreas bem como a mudança de layout da unidade resultará em um projeto </w:t>
      </w:r>
      <w:r>
        <w:rPr>
          <w:rFonts w:cs="Arial" w:ascii="Arial" w:hAnsi="Arial"/>
          <w:i/>
          <w:iCs/>
          <w:sz w:val="22"/>
          <w:szCs w:val="22"/>
        </w:rPr>
        <w:t>as-built</w:t>
      </w:r>
      <w:r>
        <w:rPr>
          <w:rFonts w:cs="Arial" w:ascii="Arial" w:hAnsi="Arial"/>
          <w:sz w:val="22"/>
          <w:szCs w:val="22"/>
        </w:rPr>
        <w:t xml:space="preserve"> ao existente a ser aprovado junto ao corpo de bombeiro com fins de obtenção de </w:t>
      </w:r>
      <w:r>
        <w:rPr>
          <w:rFonts w:cs="Arial" w:ascii="Arial" w:hAnsi="Arial"/>
          <w:i/>
          <w:iCs/>
          <w:sz w:val="22"/>
          <w:szCs w:val="22"/>
        </w:rPr>
        <w:t>Habite-se</w:t>
      </w:r>
      <w:r>
        <w:rPr>
          <w:rFonts w:cs="Arial" w:ascii="Arial" w:hAnsi="Arial"/>
          <w:sz w:val="22"/>
          <w:szCs w:val="22"/>
        </w:rPr>
        <w:t>.</w:t>
      </w:r>
    </w:p>
    <w:p>
      <w:pPr>
        <w:pStyle w:val="Normal"/>
        <w:tabs>
          <w:tab w:val="left" w:pos="851" w:leader="none"/>
        </w:tabs>
        <w:spacing w:lineRule="auto" w:line="276" w:before="0" w:after="120"/>
        <w:ind w:right="-89" w:firstLine="708"/>
        <w:jc w:val="both"/>
        <w:rPr/>
      </w:pPr>
      <w:r>
        <w:rPr>
          <w:rFonts w:cs="Arial" w:ascii="Arial" w:hAnsi="Arial"/>
          <w:sz w:val="22"/>
          <w:szCs w:val="22"/>
        </w:rPr>
        <w:t xml:space="preserve">A construção da nova lavanderia se faz necessário para ampliação da sala do pré onde a mesma está atualmente. Com a construção de sanitários para as salas de aula, os banheiros de uso comum terão as suas áreas diminuídas </w:t>
      </w:r>
      <w:r>
        <w:rPr>
          <w:rFonts w:cs="Arial" w:ascii="Arial" w:hAnsi="Arial"/>
          <w:sz w:val="22"/>
          <w:szCs w:val="22"/>
        </w:rPr>
        <w:t>com reforma total do espaço</w:t>
      </w:r>
      <w:r>
        <w:rPr>
          <w:rFonts w:cs="Arial" w:ascii="Arial" w:hAnsi="Arial"/>
          <w:sz w:val="22"/>
          <w:szCs w:val="22"/>
        </w:rPr>
        <w:t xml:space="preserve"> para construção de um sanitário para PCD e um sanitário para a sala do pré.</w:t>
      </w:r>
    </w:p>
    <w:p>
      <w:pPr>
        <w:pStyle w:val="Normal"/>
        <w:tabs>
          <w:tab w:val="left" w:pos="851" w:leader="none"/>
        </w:tabs>
        <w:spacing w:lineRule="auto" w:line="276" w:before="0" w:after="120"/>
        <w:ind w:right="-89" w:firstLine="708"/>
        <w:jc w:val="both"/>
        <w:rPr/>
      </w:pPr>
      <w:r>
        <w:rPr>
          <w:rFonts w:cs="Arial" w:ascii="Arial" w:hAnsi="Arial"/>
          <w:sz w:val="22"/>
          <w:szCs w:val="22"/>
        </w:rPr>
        <w:t>Também terá alteração de layout na secretaria com a inversão do espaço com o depósito, facilitando o atendimento aos pais e na cozinha será construído uma divisão separando o depósito de alimentos com a área de preparo de alimentos conforme exigência da Vigilância Sanitária.</w:t>
      </w:r>
    </w:p>
    <w:p>
      <w:pPr>
        <w:pStyle w:val="Normal"/>
        <w:tabs>
          <w:tab w:val="left" w:pos="851" w:leader="none"/>
        </w:tabs>
        <w:spacing w:lineRule="auto" w:line="276" w:before="0" w:after="120"/>
        <w:ind w:right="-89" w:firstLine="708"/>
        <w:jc w:val="both"/>
        <w:rPr/>
      </w:pPr>
      <w:r>
        <w:rPr>
          <w:rFonts w:cs="Arial" w:ascii="Arial" w:hAnsi="Arial"/>
          <w:sz w:val="22"/>
          <w:szCs w:val="22"/>
        </w:rPr>
        <w:t xml:space="preserve">Os pisos cerâmicos das salas de aula </w:t>
      </w:r>
      <w:r>
        <w:rPr>
          <w:rFonts w:cs="Arial" w:ascii="Arial" w:hAnsi="Arial"/>
          <w:sz w:val="22"/>
          <w:szCs w:val="22"/>
        </w:rPr>
        <w:t>serão substituídos por piso vinílico e as demais áreas por novos pisos cerâmicos. Serão trocados todas as esquadrias em madeira por novas de alumínio.</w:t>
      </w:r>
    </w:p>
    <w:p>
      <w:pPr>
        <w:pStyle w:val="Normal"/>
        <w:tabs>
          <w:tab w:val="left" w:pos="851" w:leader="none"/>
        </w:tabs>
        <w:spacing w:lineRule="auto" w:line="276" w:before="0" w:after="120"/>
        <w:ind w:right="-89" w:firstLine="708"/>
        <w:jc w:val="both"/>
        <w:rPr/>
      </w:pPr>
      <w:r>
        <w:rPr>
          <w:rFonts w:cs="Arial" w:ascii="Arial" w:hAnsi="Arial"/>
          <w:sz w:val="22"/>
          <w:szCs w:val="22"/>
        </w:rPr>
        <w:t xml:space="preserve">A pintura e pastilhamento vem atender as necessidades da unidade com relação à manutenção e cuidados ao bem público e podendo então ser oferecidos serviços com maior qualidade aquela comunidade usuária da unidade em questão, atentando assim ao padrão estético das unidades mais novas do município. A presente pintura do edifício é parte fundamental no processo atualmente vivido de melhorias contínuas nas unidades escolares do município de Itajaí. </w:t>
      </w:r>
    </w:p>
    <w:p>
      <w:pPr>
        <w:pStyle w:val="Normal"/>
        <w:tabs>
          <w:tab w:val="left" w:pos="851" w:leader="none"/>
        </w:tabs>
        <w:spacing w:lineRule="auto" w:line="276" w:before="0" w:after="120"/>
        <w:ind w:right="-89" w:firstLine="708"/>
        <w:jc w:val="both"/>
        <w:rPr/>
      </w:pPr>
      <w:r>
        <w:rPr>
          <w:rFonts w:cs="Arial" w:ascii="Arial" w:hAnsi="Arial"/>
          <w:sz w:val="22"/>
          <w:szCs w:val="22"/>
        </w:rPr>
        <w:t>Será refeita toda calçada externa da unidade com Paver e será colocado piso modular externo em TPE na sob área cimentada do parquinho.</w:t>
      </w:r>
    </w:p>
    <w:p>
      <w:pPr>
        <w:pStyle w:val="Normal"/>
        <w:tabs>
          <w:tab w:val="left" w:pos="851" w:leader="none"/>
        </w:tabs>
        <w:spacing w:lineRule="auto" w:line="276" w:before="0" w:after="120"/>
        <w:ind w:firstLine="708"/>
        <w:jc w:val="both"/>
        <w:rPr/>
      </w:pP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7371"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7371"/>
      </w:tblGrid>
      <w:tr>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55" w:type="dxa"/>
            </w:tcMar>
            <w:vAlign w:val="center"/>
          </w:tcPr>
          <w:p>
            <w:pPr>
              <w:pStyle w:val="BodyText3"/>
              <w:tabs>
                <w:tab w:val="left" w:pos="851" w:leader="none"/>
              </w:tabs>
              <w:spacing w:lineRule="auto" w:line="276" w:before="0" w:after="120"/>
              <w:rPr>
                <w:rFonts w:ascii="Arial" w:hAnsi="Arial" w:cs="Arial"/>
                <w:b/>
                <w:b/>
                <w:sz w:val="22"/>
                <w:szCs w:val="22"/>
              </w:rPr>
            </w:pPr>
            <w:r>
              <w:rPr>
                <w:rFonts w:cs="Arial" w:ascii="Arial" w:hAnsi="Arial"/>
                <w:b/>
                <w:sz w:val="22"/>
                <w:szCs w:val="22"/>
              </w:rPr>
              <w:t>Descrição</w:t>
            </w:r>
          </w:p>
        </w:tc>
      </w:tr>
      <w:tr>
        <w:trPr>
          <w:trHeight w:val="680" w:hRule="atLeast"/>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BodyText3"/>
              <w:tabs>
                <w:tab w:val="left" w:pos="851" w:leader="none"/>
              </w:tabs>
              <w:spacing w:lineRule="auto" w:line="276" w:before="0" w:after="120"/>
              <w:jc w:val="center"/>
              <w:rPr/>
            </w:pPr>
            <w:r>
              <w:rPr>
                <w:rFonts w:cs="Arial" w:ascii="Arial" w:hAnsi="Arial"/>
                <w:b/>
                <w:sz w:val="24"/>
                <w:szCs w:val="24"/>
              </w:rPr>
              <w:t>REFORMA D</w:t>
            </w:r>
            <w:r>
              <w:rPr>
                <w:rFonts w:cs="Arial" w:ascii="Arial" w:hAnsi="Arial"/>
                <w:b/>
                <w:bCs/>
                <w:sz w:val="24"/>
                <w:szCs w:val="24"/>
              </w:rPr>
              <w:t xml:space="preserve">O CEI </w:t>
            </w:r>
            <w:r>
              <w:rPr>
                <w:rFonts w:cs="Arial" w:ascii="Arial" w:hAnsi="Arial"/>
                <w:b/>
                <w:bCs/>
                <w:sz w:val="24"/>
                <w:szCs w:val="24"/>
              </w:rPr>
              <w:t>NOSSA SENHORA</w:t>
            </w:r>
            <w:r>
              <w:rPr>
                <w:rFonts w:cs="Arial" w:ascii="Arial" w:hAnsi="Arial"/>
                <w:b/>
                <w:bCs/>
                <w:sz w:val="24"/>
                <w:szCs w:val="24"/>
              </w:rPr>
              <w:t xml:space="preserve"> </w:t>
            </w:r>
            <w:r>
              <w:rPr>
                <w:rFonts w:cs="Arial" w:ascii="Arial" w:hAnsi="Arial"/>
                <w:b/>
                <w:bCs/>
                <w:sz w:val="24"/>
                <w:szCs w:val="24"/>
              </w:rPr>
              <w:t>DAS GRAÇAS</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0" w:name="_Toc176842489"/>
      <w:bookmarkStart w:id="1" w:name="_Toc176842531"/>
      <w:bookmarkStart w:id="2" w:name="_Toc176842601"/>
      <w:bookmarkStart w:id="3" w:name="_Toc176847474"/>
      <w:bookmarkEnd w:id="0"/>
      <w:bookmarkEnd w:id="1"/>
      <w:bookmarkEnd w:id="2"/>
      <w:bookmarkEnd w:id="3"/>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Planilha Orçamentária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Cronograma Físico-Financeiro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Memorial Descritivo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Projeto e Desenhos Técnicos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Justificativa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Diário de Obras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Placa de Obra Municipal</w:t>
      </w:r>
    </w:p>
    <w:p>
      <w:pPr>
        <w:pStyle w:val="Normal"/>
        <w:tabs>
          <w:tab w:val="left" w:pos="851" w:leader="none"/>
          <w:tab w:val="left" w:pos="3418" w:leader="none"/>
        </w:tabs>
        <w:spacing w:lineRule="auto" w:line="276" w:before="0" w:after="120"/>
        <w:jc w:val="both"/>
        <w:rPr>
          <w:rFonts w:ascii="Arial" w:hAnsi="Arial" w:cs="Arial"/>
          <w:sz w:val="22"/>
          <w:szCs w:val="22"/>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DOTAÇÃO ORÇAMENTÁRIA.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cs="Arial" w:ascii="Arial" w:hAnsi="Arial"/>
          <w:bCs/>
          <w:sz w:val="22"/>
          <w:szCs w:val="22"/>
        </w:rPr>
        <w:t xml:space="preserve">5.1. Os recursos orçamentários necessários à execução do presente objeto, será de </w:t>
      </w:r>
      <w:r>
        <w:rPr>
          <w:rFonts w:cs="Arial" w:ascii="Arial" w:hAnsi="Arial"/>
          <w:b/>
          <w:bCs/>
          <w:sz w:val="22"/>
          <w:szCs w:val="22"/>
        </w:rPr>
        <w:t xml:space="preserve">R$  </w:t>
      </w:r>
      <w:r>
        <w:rPr>
          <w:rFonts w:cs="Arial" w:ascii="Arial" w:hAnsi="Arial"/>
          <w:b/>
          <w:bCs/>
          <w:sz w:val="22"/>
          <w:szCs w:val="22"/>
        </w:rPr>
        <w:t xml:space="preserve">319.476,28 </w:t>
      </w:r>
      <w:r>
        <w:rPr>
          <w:rFonts w:cs="Arial" w:ascii="Arial" w:hAnsi="Arial"/>
          <w:bCs/>
          <w:sz w:val="22"/>
          <w:szCs w:val="22"/>
        </w:rPr>
        <w:t>(</w:t>
      </w:r>
      <w:r>
        <w:rPr>
          <w:rFonts w:cs="Arial" w:ascii="Arial" w:hAnsi="Arial"/>
          <w:bCs/>
          <w:sz w:val="22"/>
          <w:szCs w:val="22"/>
        </w:rPr>
        <w:t xml:space="preserve">Trezentos e dezenove mil, quatrocentos e setenta e seis reais e vinte e oito </w:t>
      </w:r>
      <w:r>
        <w:rPr>
          <w:rFonts w:cs="Arial" w:ascii="Arial" w:hAnsi="Arial"/>
          <w:bCs/>
          <w:sz w:val="22"/>
          <w:szCs w:val="22"/>
        </w:rPr>
        <w:t xml:space="preserve">centavos), os quais correrão por conta do exercício orçamentário do ano de 2017 o valor de </w:t>
      </w:r>
      <w:r>
        <w:rPr>
          <w:rFonts w:cs="Arial" w:ascii="Arial" w:hAnsi="Arial"/>
          <w:b/>
          <w:bCs/>
          <w:sz w:val="22"/>
          <w:szCs w:val="22"/>
        </w:rPr>
        <w:t xml:space="preserve">R$ </w:t>
      </w:r>
      <w:r>
        <w:rPr>
          <w:rFonts w:cs="Arial" w:ascii="Arial" w:hAnsi="Arial"/>
          <w:b/>
          <w:bCs/>
          <w:sz w:val="22"/>
          <w:szCs w:val="22"/>
        </w:rPr>
        <w:t>68.083,26</w:t>
      </w:r>
      <w:r>
        <w:rPr>
          <w:rFonts w:cs="Arial" w:ascii="Arial" w:hAnsi="Arial"/>
          <w:bCs/>
          <w:sz w:val="22"/>
          <w:szCs w:val="22"/>
        </w:rPr>
        <w:t xml:space="preserve"> e o restante por conta do exercício de 2018, conforme dotação orçamentária a ser determinada pela Secretaria Municipal de Educação e </w:t>
      </w:r>
      <w:r>
        <w:rPr>
          <w:rFonts w:cs="Arial" w:ascii="Arial" w:hAnsi="Arial"/>
          <w:b/>
          <w:bCs/>
          <w:sz w:val="22"/>
          <w:szCs w:val="22"/>
        </w:rPr>
        <w:t>sendo 100% de Recursos Próprios Municipais</w:t>
      </w:r>
      <w:r>
        <w:rPr>
          <w:rFonts w:cs="Arial" w:ascii="Arial" w:hAnsi="Arial"/>
          <w:bCs/>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dos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do licitante de possuir em seu quadro permanente, na data da licitação e constante da Certidão de Registro de Pessoa Jurídica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engenheiro(s) ou arquiteto(s) detentor(es) de atestado(s) de capacidade com suas respectivas certidão(ões) de acervos técnicos registrados no respectivo conselho da categoria e que comprovem a </w:t>
      </w:r>
      <w:r>
        <w:rPr>
          <w:rFonts w:cs="Arial" w:ascii="Arial" w:hAnsi="Arial"/>
          <w:b/>
          <w:sz w:val="22"/>
          <w:szCs w:val="22"/>
        </w:rPr>
        <w:t>EXECUÇÃO</w:t>
      </w:r>
      <w:r>
        <w:rPr>
          <w:rFonts w:cs="Arial" w:ascii="Arial" w:hAnsi="Arial"/>
          <w:sz w:val="22"/>
          <w:szCs w:val="22"/>
        </w:rPr>
        <w:t xml:space="preserve"> do(s) serviços a seguir relacionados:</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tbl>
      <w:tblPr>
        <w:tblW w:w="8505" w:type="dxa"/>
        <w:jc w:val="left"/>
        <w:tblInd w:w="4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4394"/>
        <w:gridCol w:w="4110"/>
      </w:tblGrid>
      <w:tr>
        <w:trPr>
          <w:tblHeader w:val="true"/>
          <w:trHeight w:val="62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SERVIÇO DE RELEVÂNCIA TÉCNICA</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5" w:type="dxa"/>
            </w:tcMar>
            <w:vAlign w:val="center"/>
          </w:tcPr>
          <w:p>
            <w:pPr>
              <w:pStyle w:val="Normal"/>
              <w:tabs>
                <w:tab w:val="left" w:pos="851" w:leader="none"/>
              </w:tabs>
              <w:spacing w:lineRule="auto" w:line="276" w:before="0" w:after="120"/>
              <w:jc w:val="center"/>
              <w:rPr>
                <w:rFonts w:ascii="Arial" w:hAnsi="Arial" w:cs="Arial"/>
                <w:b/>
                <w:b/>
                <w:bCs/>
                <w:sz w:val="22"/>
                <w:szCs w:val="22"/>
              </w:rPr>
            </w:pPr>
            <w:r>
              <w:rPr>
                <w:rFonts w:cs="Arial" w:ascii="Arial" w:hAnsi="Arial"/>
                <w:b/>
                <w:bCs/>
                <w:sz w:val="22"/>
                <w:szCs w:val="22"/>
              </w:rPr>
              <w:t>COMPROVAÇÃO QUANT. MÍNIMA</w:t>
            </w:r>
          </w:p>
        </w:tc>
      </w:tr>
      <w:tr>
        <w:trPr>
          <w:trHeight w:val="45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tabs>
                <w:tab w:val="left" w:pos="851" w:leader="none"/>
              </w:tabs>
              <w:spacing w:lineRule="auto" w:line="276" w:before="0" w:after="120"/>
              <w:jc w:val="center"/>
              <w:rPr/>
            </w:pPr>
            <w:r>
              <w:rPr>
                <w:rFonts w:cs="Arial" w:ascii="Arial" w:hAnsi="Arial"/>
                <w:b/>
                <w:sz w:val="22"/>
                <w:szCs w:val="22"/>
              </w:rPr>
              <w:t>REFORMA</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tabs>
                <w:tab w:val="left" w:pos="851" w:leader="none"/>
              </w:tabs>
              <w:spacing w:lineRule="auto" w:line="276" w:before="0" w:after="120"/>
              <w:jc w:val="center"/>
              <w:rPr/>
            </w:pPr>
            <w:r>
              <w:rPr>
                <w:rFonts w:cs="Arial" w:ascii="Arial" w:hAnsi="Arial"/>
                <w:b/>
                <w:sz w:val="22"/>
                <w:szCs w:val="22"/>
              </w:rPr>
              <w:t>2</w:t>
            </w:r>
            <w:r>
              <w:rPr>
                <w:rFonts w:cs="Arial" w:ascii="Arial" w:hAnsi="Arial"/>
                <w:b/>
                <w:sz w:val="22"/>
                <w:szCs w:val="22"/>
              </w:rPr>
              <w:t>25</w:t>
            </w:r>
            <w:r>
              <w:rPr>
                <w:rFonts w:cs="Arial" w:ascii="Arial" w:hAnsi="Arial"/>
                <w:b/>
                <w:sz w:val="22"/>
                <w:szCs w:val="22"/>
              </w:rPr>
              <w:t xml:space="preserve"> m²</w:t>
            </w:r>
          </w:p>
        </w:tc>
      </w:tr>
      <w:tr>
        <w:trPr>
          <w:trHeight w:val="45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tabs>
                <w:tab w:val="left" w:pos="851" w:leader="none"/>
              </w:tabs>
              <w:spacing w:lineRule="auto" w:line="276" w:before="0" w:after="120"/>
              <w:jc w:val="center"/>
              <w:rPr/>
            </w:pPr>
            <w:r>
              <w:rPr>
                <w:rFonts w:cs="Arial" w:ascii="Arial" w:hAnsi="Arial"/>
                <w:b/>
                <w:sz w:val="22"/>
                <w:szCs w:val="22"/>
              </w:rPr>
              <w:t>PISO VINÍLICO</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tabs>
                <w:tab w:val="left" w:pos="851" w:leader="none"/>
              </w:tabs>
              <w:spacing w:lineRule="auto" w:line="276" w:before="0" w:after="120"/>
              <w:jc w:val="center"/>
              <w:rPr/>
            </w:pPr>
            <w:r>
              <w:rPr>
                <w:rFonts w:cs="Arial" w:ascii="Arial" w:hAnsi="Arial"/>
                <w:b/>
                <w:sz w:val="22"/>
                <w:szCs w:val="22"/>
              </w:rPr>
              <w:t>100</w:t>
            </w:r>
            <w:r>
              <w:rPr>
                <w:rFonts w:cs="Arial" w:ascii="Arial" w:hAnsi="Arial"/>
                <w:b/>
                <w:sz w:val="22"/>
                <w:szCs w:val="22"/>
              </w:rPr>
              <w:t xml:space="preserve"> m²</w:t>
            </w:r>
          </w:p>
        </w:tc>
      </w:tr>
      <w:tr>
        <w:trPr>
          <w:trHeight w:val="45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tabs>
                <w:tab w:val="left" w:pos="851" w:leader="none"/>
              </w:tabs>
              <w:spacing w:lineRule="auto" w:line="276" w:before="0" w:after="120"/>
              <w:jc w:val="center"/>
              <w:rPr/>
            </w:pPr>
            <w:r>
              <w:rPr>
                <w:rFonts w:cs="Arial" w:ascii="Arial" w:hAnsi="Arial"/>
                <w:b/>
                <w:sz w:val="22"/>
                <w:szCs w:val="22"/>
              </w:rPr>
              <w:t>PINTURA</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tabs>
                <w:tab w:val="left" w:pos="851" w:leader="none"/>
              </w:tabs>
              <w:spacing w:lineRule="auto" w:line="276" w:before="0" w:after="120"/>
              <w:jc w:val="center"/>
              <w:rPr/>
            </w:pPr>
            <w:r>
              <w:rPr>
                <w:rFonts w:cs="Arial" w:ascii="Arial" w:hAnsi="Arial"/>
                <w:b/>
                <w:sz w:val="22"/>
                <w:szCs w:val="22"/>
              </w:rPr>
              <w:t>750</w:t>
            </w:r>
            <w:r>
              <w:rPr>
                <w:rFonts w:cs="Arial" w:ascii="Arial" w:hAnsi="Arial"/>
                <w:b/>
                <w:sz w:val="22"/>
                <w:szCs w:val="22"/>
              </w:rPr>
              <w:t xml:space="preserve"> m²</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 xml:space="preserve">7.5.1.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7.5.2. Apresentar somente o(s) atestado(s) e certidão(ões) necessário(s) e suficiente(s) para a comprovação do exigido.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7.6.  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Serviços executados.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7.7.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cs="Arial" w:ascii="Arial" w:hAnsi="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 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8.5. Não será admitida pelos licitantes/contratado, a alegação de falta de peças técnicas e/ou desconhecimento do processo/ 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7890" w:type="dxa"/>
        <w:jc w:val="left"/>
        <w:tblInd w:w="5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5790"/>
        <w:gridCol w:w="2100"/>
      </w:tblGrid>
      <w:tr>
        <w:trPr>
          <w:trHeight w:val="525" w:hRule="atLeast"/>
        </w:trPr>
        <w:tc>
          <w:tcPr>
            <w:tcW w:w="57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1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57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REFORMA </w:t>
            </w:r>
            <w:r>
              <w:rPr>
                <w:rFonts w:cs="Arial" w:ascii="Arial" w:hAnsi="Arial"/>
                <w:b/>
                <w:bCs/>
                <w:sz w:val="22"/>
                <w:szCs w:val="22"/>
              </w:rPr>
              <w:t>D</w:t>
            </w:r>
            <w:r>
              <w:rPr>
                <w:rFonts w:cs="Arial" w:ascii="Arial" w:hAnsi="Arial"/>
                <w:b/>
                <w:bCs/>
                <w:sz w:val="22"/>
                <w:szCs w:val="22"/>
              </w:rPr>
              <w:t xml:space="preserve">O CEI </w:t>
            </w:r>
            <w:r>
              <w:rPr>
                <w:rFonts w:cs="Arial" w:ascii="Arial" w:hAnsi="Arial"/>
                <w:b/>
                <w:bCs/>
                <w:sz w:val="22"/>
                <w:szCs w:val="22"/>
              </w:rPr>
              <w:t>NOSSA SENHORA DAS GRAÇAS</w:t>
            </w:r>
          </w:p>
        </w:tc>
        <w:tc>
          <w:tcPr>
            <w:tcW w:w="21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r>
              <w:rPr>
                <w:rFonts w:cs="Arial" w:ascii="Arial" w:hAnsi="Arial"/>
                <w:b/>
                <w:bCs/>
                <w:sz w:val="22"/>
                <w:szCs w:val="22"/>
              </w:rPr>
              <w:t>319</w:t>
            </w:r>
            <w:r>
              <w:rPr>
                <w:rFonts w:cs="Arial" w:ascii="Arial" w:hAnsi="Arial"/>
                <w:b/>
                <w:bCs/>
                <w:sz w:val="22"/>
                <w:szCs w:val="22"/>
              </w:rPr>
              <w:t>.</w:t>
            </w:r>
            <w:r>
              <w:rPr>
                <w:rFonts w:cs="Arial" w:ascii="Arial" w:hAnsi="Arial"/>
                <w:b/>
                <w:bCs/>
                <w:sz w:val="22"/>
                <w:szCs w:val="22"/>
              </w:rPr>
              <w:t>476,28</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0" w:type="dxa"/>
          <w:bottom w:w="0" w:type="dxa"/>
          <w:right w:w="70" w:type="dxa"/>
        </w:tblCellMar>
        <w:tblLook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50"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0"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tru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sz w:val="22"/>
          <w:szCs w:val="22"/>
        </w:rPr>
        <w:t>1</w:t>
      </w:r>
      <w:r>
        <w:rPr>
          <w:rFonts w:cs="Arial" w:ascii="Arial" w:hAnsi="Arial"/>
          <w:b/>
          <w:sz w:val="22"/>
          <w:szCs w:val="22"/>
        </w:rPr>
        <w:t>5</w:t>
      </w:r>
      <w:r>
        <w:rPr>
          <w:rFonts w:cs="Arial" w:ascii="Arial" w:hAnsi="Arial"/>
          <w:b/>
          <w:sz w:val="22"/>
          <w:szCs w:val="22"/>
        </w:rPr>
        <w:t xml:space="preserve">0 (Cento e </w:t>
      </w:r>
      <w:r>
        <w:rPr>
          <w:rFonts w:cs="Arial" w:ascii="Arial" w:hAnsi="Arial"/>
          <w:b/>
          <w:sz w:val="22"/>
          <w:szCs w:val="22"/>
        </w:rPr>
        <w:t>cinquenta</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sz w:val="22"/>
          <w:szCs w:val="22"/>
        </w:rPr>
        <w:t>2</w:t>
      </w:r>
      <w:r>
        <w:rPr>
          <w:rFonts w:cs="Arial" w:ascii="Arial" w:hAnsi="Arial"/>
          <w:b/>
          <w:sz w:val="22"/>
          <w:szCs w:val="22"/>
        </w:rPr>
        <w:t>1</w:t>
      </w:r>
      <w:r>
        <w:rPr>
          <w:rFonts w:cs="Arial" w:ascii="Arial" w:hAnsi="Arial"/>
          <w:b/>
          <w:sz w:val="22"/>
          <w:szCs w:val="22"/>
        </w:rPr>
        <w:t xml:space="preserve">0 (Duzentos e </w:t>
      </w:r>
      <w:r>
        <w:rPr>
          <w:rFonts w:cs="Arial" w:ascii="Arial" w:hAnsi="Arial"/>
          <w:b/>
          <w:sz w:val="22"/>
          <w:szCs w:val="22"/>
        </w:rPr>
        <w:t>dez</w:t>
      </w:r>
      <w:r>
        <w:rPr>
          <w:rFonts w:cs="Arial" w:ascii="Arial" w:hAnsi="Arial"/>
          <w:b/>
          <w:sz w:val="22"/>
          <w:szCs w:val="22"/>
        </w:rPr>
        <w:t>)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Os serviços de reforma serão executados concomitantemente aos serviços de ampliação da unidade conforme cronograma físico-financeiro anexo a este Termo de Referência.</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4" w:name="__DdeLink__518_576160097"/>
      <w:bookmarkEnd w:id="4"/>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5" w:name="_Ref128369793"/>
      <w:bookmarkEnd w:id="5"/>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Style w:val="Annotationreference"/>
          <w:rFonts w:ascii="Arial" w:hAnsi="Arial" w:cs="Arial"/>
          <w:bCs/>
          <w:vanish/>
          <w:sz w:val="22"/>
          <w:szCs w:val="22"/>
        </w:rPr>
      </w:pPr>
      <w:r>
        <w:rPr>
          <w:rFonts w:cs="Arial" w:ascii="Arial" w:hAnsi="Arial"/>
          <w:bCs/>
          <w:vanish/>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bookmarkStart w:id="6" w:name="_Toc176842519"/>
      <w:bookmarkStart w:id="7" w:name="_Toc176842561"/>
      <w:bookmarkStart w:id="8" w:name="_Toc176842631"/>
      <w:bookmarkStart w:id="9" w:name="_Toc176847504"/>
      <w:r>
        <w:rPr>
          <w:rFonts w:cs="Arial"/>
          <w:bCs w:val="false"/>
          <w:sz w:val="22"/>
          <w:szCs w:val="22"/>
        </w:rPr>
        <w:t>15.  DAS CONDIÇÕES DE SEGURANÇA DO TRABALHO</w:t>
      </w:r>
      <w:bookmarkEnd w:id="6"/>
      <w:bookmarkEnd w:id="7"/>
      <w:bookmarkEnd w:id="8"/>
      <w:bookmarkEnd w:id="9"/>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0" w:name="_Toc176842520"/>
      <w:bookmarkStart w:id="11" w:name="_Toc176842562"/>
      <w:bookmarkStart w:id="12" w:name="_Toc176842632"/>
      <w:bookmarkStart w:id="13" w:name="_Toc176847505"/>
      <w:r>
        <w:rPr>
          <w:rFonts w:cs="Arial"/>
          <w:bCs w:val="false"/>
          <w:sz w:val="22"/>
          <w:szCs w:val="22"/>
        </w:rPr>
        <w:t>DA PARALISAÇÃO DOS SERVIÇOS</w:t>
      </w:r>
      <w:bookmarkEnd w:id="10"/>
      <w:bookmarkEnd w:id="11"/>
      <w:bookmarkEnd w:id="12"/>
      <w:bookmarkEnd w:id="13"/>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4" w:name="_Toc176842521"/>
      <w:bookmarkStart w:id="15" w:name="_Toc176842563"/>
      <w:bookmarkStart w:id="16" w:name="_Toc176842633"/>
      <w:bookmarkStart w:id="17" w:name="_Toc176847506"/>
      <w:r>
        <w:rPr>
          <w:rFonts w:cs="Arial"/>
          <w:bCs w:val="false"/>
          <w:sz w:val="22"/>
          <w:szCs w:val="22"/>
        </w:rPr>
        <w:t>DO RECEBIMENTO DA OBRA, SERVIÇOS E MATERIAIS</w:t>
      </w:r>
      <w:bookmarkEnd w:id="14"/>
      <w:bookmarkEnd w:id="15"/>
      <w:bookmarkEnd w:id="16"/>
      <w:bookmarkEnd w:id="17"/>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17.1. Para o recebimento das obras e serviços e dos materiais fornecidos será designada uma comissão de recebimento, composta de no mínimo 03 (três) técnicos,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rPr/>
      </w:pPr>
      <w:r>
        <w:rPr>
          <w:rFonts w:cs="Arial" w:ascii="Arial" w:hAnsi="Arial"/>
          <w:sz w:val="22"/>
          <w:szCs w:val="22"/>
        </w:rPr>
        <w:t>Itajaí, 29 de setembro de 2017.</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123" w:type="dxa"/>
          <w:bottom w:w="0" w:type="dxa"/>
          <w:right w:w="108" w:type="dxa"/>
        </w:tblCellMar>
        <w:tblLook w:val="04a0"/>
      </w:tblPr>
      <w:tblGrid>
        <w:gridCol w:w="4605"/>
        <w:gridCol w:w="4605"/>
      </w:tblGrid>
      <w:tr>
        <w:trPr/>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rFonts w:ascii="Arial" w:hAnsi="Arial" w:eastAsia="Calibri" w:cs="Arial"/>
                <w:b/>
                <w:b/>
              </w:rPr>
            </w:pPr>
            <w:r>
              <w:rPr>
                <w:rFonts w:eastAsia="Calibri" w:cs="Arial" w:ascii="Arial" w:hAnsi="Arial"/>
                <w:b/>
              </w:rPr>
              <w:t>Elmir Bortolanza</w:t>
            </w:r>
          </w:p>
          <w:p>
            <w:pPr>
              <w:pStyle w:val="Normal"/>
              <w:tabs>
                <w:tab w:val="left" w:pos="851" w:leader="none"/>
              </w:tabs>
              <w:spacing w:lineRule="auto" w:line="276" w:before="0" w:after="0"/>
              <w:jc w:val="center"/>
              <w:rPr>
                <w:rFonts w:ascii="Arial" w:hAnsi="Arial" w:eastAsia="Calibri" w:cs="Arial"/>
              </w:rPr>
            </w:pPr>
            <w:r>
              <w:rPr>
                <w:rFonts w:eastAsia="Calibri" w:cs="Arial" w:ascii="Arial" w:hAnsi="Arial"/>
              </w:rPr>
              <w:t>Gerente de Projetos Arquitetônicos</w:t>
            </w:r>
          </w:p>
          <w:p>
            <w:pPr>
              <w:pStyle w:val="Normal"/>
              <w:tabs>
                <w:tab w:val="left" w:pos="851" w:leader="none"/>
              </w:tabs>
              <w:spacing w:lineRule="auto" w:line="276" w:before="0" w:after="0"/>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rFonts w:ascii="Arial" w:hAnsi="Arial" w:cs="Arial"/>
                <w:b/>
                <w:b/>
              </w:rPr>
            </w:pPr>
            <w:r>
              <w:rPr>
                <w:rFonts w:cs="Arial" w:ascii="Arial" w:hAnsi="Arial"/>
                <w:b/>
              </w:rPr>
              <w:t>Anderson Rodrigues</w:t>
            </w:r>
          </w:p>
          <w:p>
            <w:pPr>
              <w:pStyle w:val="Normal"/>
              <w:tabs>
                <w:tab w:val="left" w:pos="851" w:leader="none"/>
              </w:tabs>
              <w:spacing w:lineRule="auto" w:line="276" w:before="0" w:after="0"/>
              <w:jc w:val="center"/>
              <w:rPr>
                <w:rFonts w:ascii="Arial" w:hAnsi="Arial" w:cs="Arial"/>
              </w:rPr>
            </w:pPr>
            <w:r>
              <w:rPr>
                <w:rFonts w:cs="Arial" w:ascii="Arial" w:hAnsi="Arial"/>
              </w:rPr>
              <w:t>Diretor de Infraestrutura Escolar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198"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3">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 w:val="24"/>
        <w:szCs w:val="24"/>
      </w:rPr>
    </w:pPr>
    <w:r>
      <w:rPr>
        <w:rFonts w:cs="Times New Roman" w:ascii="Times New Roman" w:hAnsi="Times New Roman"/>
        <w:sz w:val="24"/>
        <w:szCs w:val="24"/>
      </w:rPr>
      <w:drawing>
        <wp:anchor behindDoc="0" distT="0" distB="0" distL="133350" distR="116205" simplePos="0" locked="0" layoutInCell="1" allowOverlap="1" relativeHeight="25">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369" y="0"/>
              <wp:lineTo x="-369" y="20532"/>
              <wp:lineTo x="21603" y="20532"/>
              <wp:lineTo x="21603" y="0"/>
              <wp:lineTo x="-369"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false"/>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3" w:uiPriority="0"/>
    <w:lsdException w:name="Body Text Indent 2"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6584"/>
    <w:pPr>
      <w:widowControl w:val="false"/>
      <w:suppressAutoHyphens w:val="true"/>
      <w:bidi w:val="0"/>
      <w:spacing w:lineRule="auto" w:line="240" w:before="0" w:after="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b w:val="false"/>
      <w:i w:val="false"/>
      <w:sz w:val="22"/>
      <w:szCs w:val="24"/>
    </w:rPr>
  </w:style>
  <w:style w:type="character" w:styleId="ListLabel5">
    <w:name w:val="ListLabel 5"/>
    <w:qFormat/>
    <w:rPr>
      <w:rFonts w:ascii="Arial" w:hAnsi="Arial"/>
      <w:b w:val="false"/>
      <w:i w:val="false"/>
      <w:color w:val="00000A"/>
      <w:sz w:val="22"/>
      <w:szCs w:val="24"/>
    </w:rPr>
  </w:style>
  <w:style w:type="character" w:styleId="ListLabel6">
    <w:name w:val="ListLabel 6"/>
    <w:qFormat/>
    <w:rPr>
      <w:rFonts w:ascii="Arial" w:hAnsi="Arial"/>
      <w:b w:val="false"/>
      <w:i w:val="false"/>
      <w:color w:val="00000A"/>
      <w:sz w:val="22"/>
    </w:rPr>
  </w:style>
  <w:style w:type="character" w:styleId="ListLabel7">
    <w:name w:val="ListLabel 7"/>
    <w:qFormat/>
    <w:rPr>
      <w:b w:val="false"/>
    </w:rPr>
  </w:style>
  <w:style w:type="character" w:styleId="ListLabel8">
    <w:name w:val="ListLabel 8"/>
    <w:qFormat/>
    <w:rPr>
      <w:b w:val="false"/>
      <w:sz w:val="24"/>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Arial" w:hAnsi="Arial"/>
      <w:b w:val="false"/>
      <w:sz w:val="22"/>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2"/>
      <w:szCs w:val="24"/>
    </w:rPr>
  </w:style>
  <w:style w:type="character" w:styleId="ListLabel17">
    <w:name w:val="ListLabel 17"/>
    <w:qFormat/>
    <w:rPr>
      <w:rFonts w:ascii="Arial" w:hAnsi="Arial"/>
      <w:b w:val="false"/>
      <w:i w:val="false"/>
      <w:color w:val="00000A"/>
      <w:sz w:val="22"/>
      <w:szCs w:val="24"/>
    </w:rPr>
  </w:style>
  <w:style w:type="character" w:styleId="ListLabel18">
    <w:name w:val="ListLabel 18"/>
    <w:qFormat/>
    <w:rPr>
      <w:rFonts w:ascii="Arial" w:hAnsi="Arial"/>
      <w:b w:val="false"/>
      <w:i w:val="false"/>
      <w:color w:val="00000A"/>
      <w:sz w:val="22"/>
    </w:rPr>
  </w:style>
  <w:style w:type="character" w:styleId="ListLabel19">
    <w:name w:val="ListLabel 19"/>
    <w:qFormat/>
    <w:rPr>
      <w:b w:val="false"/>
    </w:rPr>
  </w:style>
  <w:style w:type="character" w:styleId="ListLabel20">
    <w:name w:val="ListLabel 20"/>
    <w:qFormat/>
    <w:rPr>
      <w:b w:val="false"/>
      <w:sz w:val="24"/>
      <w:szCs w:val="24"/>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ascii="Arial" w:hAnsi="Arial" w:cs="Symbol"/>
      <w:sz w:val="22"/>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ascii="Arial" w:hAnsi="Arial"/>
      <w:b w:val="false"/>
      <w:sz w:val="22"/>
    </w:rPr>
  </w:style>
  <w:style w:type="character" w:styleId="ListLabel31">
    <w:name w:val="ListLabel 31"/>
    <w:qFormat/>
    <w:rPr>
      <w:b w:val="false"/>
      <w:i w:val="false"/>
      <w:sz w:val="22"/>
      <w:szCs w:val="24"/>
    </w:rPr>
  </w:style>
  <w:style w:type="character" w:styleId="ListLabel32">
    <w:name w:val="ListLabel 32"/>
    <w:qFormat/>
    <w:rPr>
      <w:rFonts w:ascii="Arial" w:hAnsi="Arial"/>
      <w:b w:val="false"/>
      <w:i w:val="false"/>
      <w:color w:val="00000A"/>
      <w:sz w:val="22"/>
      <w:szCs w:val="24"/>
    </w:rPr>
  </w:style>
  <w:style w:type="character" w:styleId="ListLabel33">
    <w:name w:val="ListLabel 33"/>
    <w:qFormat/>
    <w:rPr>
      <w:rFonts w:ascii="Arial" w:hAnsi="Arial"/>
      <w:b w:val="false"/>
      <w:i w:val="false"/>
      <w:color w:val="00000A"/>
      <w:sz w:val="22"/>
    </w:rPr>
  </w:style>
  <w:style w:type="character" w:styleId="ListLabel34">
    <w:name w:val="ListLabel 34"/>
    <w:qFormat/>
    <w:rPr>
      <w:b w:val="false"/>
    </w:rPr>
  </w:style>
  <w:style w:type="character" w:styleId="ListLabel35">
    <w:name w:val="ListLabel 35"/>
    <w:qFormat/>
    <w:rPr>
      <w:b w:val="false"/>
      <w:sz w:val="24"/>
      <w:szCs w:val="24"/>
    </w:rPr>
  </w:style>
  <w:style w:type="character" w:styleId="ListLabel36">
    <w:name w:val="ListLabel 36"/>
    <w:qFormat/>
    <w:rPr>
      <w:rFonts w:cs="Symbol"/>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ascii="Arial" w:hAnsi="Arial"/>
      <w:b w:val="false"/>
      <w:sz w:val="22"/>
    </w:rPr>
  </w:style>
  <w:style w:type="character" w:styleId="ListLabel46">
    <w:name w:val="ListLabel 46"/>
    <w:qFormat/>
    <w:rPr>
      <w:b w:val="false"/>
      <w:i w:val="false"/>
      <w:sz w:val="22"/>
      <w:szCs w:val="24"/>
    </w:rPr>
  </w:style>
  <w:style w:type="character" w:styleId="ListLabel47">
    <w:name w:val="ListLabel 47"/>
    <w:qFormat/>
    <w:rPr>
      <w:rFonts w:ascii="Arial" w:hAnsi="Arial"/>
      <w:b w:val="false"/>
      <w:i w:val="false"/>
      <w:color w:val="00000A"/>
      <w:sz w:val="22"/>
      <w:szCs w:val="24"/>
    </w:rPr>
  </w:style>
  <w:style w:type="character" w:styleId="ListLabel48">
    <w:name w:val="ListLabel 48"/>
    <w:qFormat/>
    <w:rPr>
      <w:rFonts w:ascii="Arial" w:hAnsi="Arial"/>
      <w:b w:val="false"/>
      <w:i w:val="false"/>
      <w:color w:val="00000A"/>
      <w:sz w:val="22"/>
    </w:rPr>
  </w:style>
  <w:style w:type="character" w:styleId="ListLabel49">
    <w:name w:val="ListLabel 49"/>
    <w:qFormat/>
    <w:rPr>
      <w:b w:val="false"/>
    </w:rPr>
  </w:style>
  <w:style w:type="character" w:styleId="ListLabel50">
    <w:name w:val="ListLabel 50"/>
    <w:qFormat/>
    <w:rPr>
      <w:b w:val="false"/>
      <w:sz w:val="24"/>
      <w:szCs w:val="24"/>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ascii="Arial" w:hAnsi="Arial" w:cs="Symbol"/>
      <w:sz w:val="22"/>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Symbol"/>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dodocumento">
    <w:name w:val="Title"/>
    <w:basedOn w:val="Normal"/>
    <w:next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spacing w:lineRule="auto" w:line="240" w:before="0" w:after="0"/>
      <w:jc w:val="left"/>
    </w:pPr>
    <w:rPr>
      <w:rFonts w:ascii="Calibri" w:hAnsi="Calibri" w:eastAsia="Calibri" w:cs="" w:asciiTheme="minorHAnsi" w:cstheme="minorBidi" w:eastAsiaTheme="minorHAnsi" w:hAnsiTheme="minorHAnsi"/>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overflowPunct w:val="fals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overflowPunct w:val="fals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spacing w:lineRule="auto" w:line="240" w:before="0" w:after="0"/>
      <w:jc w:val="left"/>
    </w:pPr>
    <w:rPr>
      <w:rFonts w:ascii="Times New Roman" w:hAnsi="Times New Roman" w:eastAsia="Times New Roman" w:cs="Times New Roman"/>
      <w:color w:val="00000A"/>
      <w:sz w:val="20"/>
      <w:szCs w:val="20"/>
      <w:lang w:val="pt-BR" w:eastAsia="pt-BR" w:bidi="ar-SA"/>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uiPriority w:val="59"/>
    <w:rsid w:val="00cb4eab"/>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4C595-B062-4942-AC7C-0E6A4260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Application>LibreOffice/5.2.4.2$Windows_x86 LibreOffice_project/3d5603e1122f0f102b62521720ab13a38a4e0eb0</Application>
  <Pages>12</Pages>
  <Words>3967</Words>
  <Characters>22743</Characters>
  <CharactersWithSpaces>26540</CharactersWithSpaces>
  <Paragraphs>199</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2017-10-02T14:15:02Z</cp:lastPrinted>
  <dcterms:modified xsi:type="dcterms:W3CDTF">2017-10-02T14:21:05Z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